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F7" w:rsidRDefault="002A1DF7" w:rsidP="002A1DF7">
      <w:pPr>
        <w:pStyle w:val="Heading2"/>
        <w:shd w:val="clear" w:color="auto" w:fill="FFFFFF"/>
        <w:spacing w:before="0" w:beforeAutospacing="0" w:after="0" w:afterAutospacing="0" w:line="210" w:lineRule="atLeast"/>
        <w:rPr>
          <w:rFonts w:ascii="Tahoma" w:hAnsi="Tahoma" w:cs="Tahoma"/>
          <w:color w:val="1C2A47"/>
          <w:sz w:val="24"/>
          <w:szCs w:val="24"/>
        </w:rPr>
      </w:pPr>
      <w:r>
        <w:rPr>
          <w:rFonts w:ascii="Tahoma" w:hAnsi="Tahoma" w:cs="Tahoma"/>
          <w:color w:val="1C2A47"/>
          <w:sz w:val="24"/>
          <w:szCs w:val="24"/>
          <w:rtl/>
        </w:rPr>
        <w:t>محضر جلسة لجنة الجماعات العمومية الجهوية والمحلية 12</w:t>
      </w:r>
    </w:p>
    <w:p w:rsidR="002A1DF7" w:rsidRDefault="002A1DF7" w:rsidP="002A1DF7">
      <w:pPr>
        <w:pStyle w:val="NormalWeb"/>
        <w:shd w:val="clear" w:color="auto" w:fill="FFFFFF"/>
        <w:spacing w:before="0" w:beforeAutospacing="0" w:after="0" w:afterAutospacing="0" w:line="240" w:lineRule="atLeast"/>
        <w:rPr>
          <w:rFonts w:ascii="Tahoma" w:hAnsi="Tahoma" w:cs="Tahoma"/>
          <w:b/>
          <w:bCs/>
          <w:color w:val="333333"/>
          <w:sz w:val="17"/>
          <w:szCs w:val="17"/>
        </w:rPr>
      </w:pPr>
      <w:bookmarkStart w:id="0" w:name="_GoBack"/>
      <w:bookmarkEnd w:id="0"/>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tl/>
        </w:rPr>
        <w:t>محضر جلسة</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Fonts w:ascii="Tahoma" w:hAnsi="Tahoma" w:cs="Tahoma"/>
          <w:color w:val="333333"/>
          <w:sz w:val="17"/>
          <w:szCs w:val="17"/>
        </w:rPr>
        <w:t xml:space="preserve">:14 </w:t>
      </w:r>
      <w:r>
        <w:rPr>
          <w:rFonts w:ascii="Tahoma" w:hAnsi="Tahoma" w:cs="Tahoma"/>
          <w:color w:val="333333"/>
          <w:sz w:val="17"/>
          <w:szCs w:val="17"/>
          <w:rtl/>
        </w:rPr>
        <w:t>مارس 2012</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12</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مواصلة حول منهجية  العمل</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:09</w:t>
      </w:r>
      <w:r>
        <w:rPr>
          <w:rFonts w:ascii="Tahoma" w:hAnsi="Tahoma" w:cs="Tahoma"/>
          <w:color w:val="333333"/>
          <w:sz w:val="17"/>
          <w:szCs w:val="17"/>
          <w:rtl/>
        </w:rPr>
        <w:t>و30 صباحا</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افتتح السيد رئيس اللجنة الاجتماع الذي تضمن مواصلة النقاش بخصوص ضبط منهجية عملها، وذلك انطلاقا من الجدول المتعلق بهيكلة الجماعات المحلية</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ثم تولى السيد مقرر اللجنة التطرق لهذه الهيكلة بمختلف عناصرها و قد لاحظ أن الاتفاق حاصل  حول تكريس</w:t>
      </w:r>
      <w:r>
        <w:rPr>
          <w:rStyle w:val="Strong"/>
          <w:rFonts w:ascii="Tahoma" w:hAnsi="Tahoma" w:cs="Tahoma"/>
          <w:color w:val="333333"/>
          <w:sz w:val="17"/>
          <w:szCs w:val="17"/>
          <w:rtl/>
        </w:rPr>
        <w:t>تنظيم إداري اللامركزي</w:t>
      </w:r>
      <w:r>
        <w:rPr>
          <w:rStyle w:val="apple-converted-space"/>
          <w:rFonts w:ascii="Tahoma" w:hAnsi="Tahoma" w:cs="Tahoma"/>
          <w:color w:val="333333"/>
          <w:sz w:val="17"/>
          <w:szCs w:val="17"/>
        </w:rPr>
        <w:t> </w:t>
      </w:r>
      <w:r>
        <w:rPr>
          <w:rFonts w:ascii="Tahoma" w:hAnsi="Tahoma" w:cs="Tahoma"/>
          <w:color w:val="333333"/>
          <w:sz w:val="17"/>
          <w:szCs w:val="17"/>
          <w:rtl/>
        </w:rPr>
        <w:t>كحل أنسب لتكريس الديمقراطية الأفقية والعدالة الاجتماعية والتنمية على المستوى الجهوي و للقطع مع الوضع السابق، وفي تحليله للتنظيم اللامركزي تم التطرق لجملة من المحاول هي على التوالي</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أولا</w:t>
      </w:r>
      <w:r>
        <w:rPr>
          <w:rFonts w:ascii="Tahoma" w:hAnsi="Tahoma" w:cs="Tahoma"/>
          <w:color w:val="333333"/>
          <w:sz w:val="17"/>
          <w:szCs w:val="17"/>
        </w:rPr>
        <w:t>:</w:t>
      </w:r>
      <w:r>
        <w:rPr>
          <w:rStyle w:val="apple-converted-space"/>
          <w:rFonts w:ascii="Tahoma" w:hAnsi="Tahoma" w:cs="Tahoma"/>
          <w:color w:val="333333"/>
          <w:sz w:val="17"/>
          <w:szCs w:val="17"/>
        </w:rPr>
        <w:t> </w:t>
      </w:r>
      <w:r>
        <w:rPr>
          <w:rStyle w:val="Strong"/>
          <w:rFonts w:ascii="Tahoma" w:hAnsi="Tahoma" w:cs="Tahoma"/>
          <w:color w:val="333333"/>
          <w:sz w:val="17"/>
          <w:szCs w:val="17"/>
          <w:rtl/>
        </w:rPr>
        <w:t>تركية الهياكل المحلية</w:t>
      </w:r>
      <w:r>
        <w:rPr>
          <w:rStyle w:val="apple-converted-space"/>
          <w:rFonts w:ascii="Tahoma" w:hAnsi="Tahoma" w:cs="Tahoma"/>
          <w:color w:val="333333"/>
          <w:sz w:val="17"/>
          <w:szCs w:val="17"/>
        </w:rPr>
        <w:t> </w:t>
      </w:r>
      <w:r>
        <w:rPr>
          <w:rFonts w:ascii="Tahoma" w:hAnsi="Tahoma" w:cs="Tahoma"/>
          <w:color w:val="333333"/>
          <w:sz w:val="17"/>
          <w:szCs w:val="17"/>
          <w:rtl/>
        </w:rPr>
        <w:t>وتتمثل في مجالس بلدية منتخبة انتخابا مباشرا ومجالس جهوية منتخبة انتخابا مباشرا وغير مباشر في نفس الوقت . والفصل مع التعيين ومع الإدارة اللامحورية</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ثانيا: مسألة</w:t>
      </w:r>
      <w:r>
        <w:rPr>
          <w:rStyle w:val="apple-converted-space"/>
          <w:rFonts w:ascii="Tahoma" w:hAnsi="Tahoma" w:cs="Tahoma"/>
          <w:color w:val="333333"/>
          <w:sz w:val="17"/>
          <w:szCs w:val="17"/>
        </w:rPr>
        <w:t> </w:t>
      </w:r>
      <w:r>
        <w:rPr>
          <w:rStyle w:val="Strong"/>
          <w:rFonts w:ascii="Tahoma" w:hAnsi="Tahoma" w:cs="Tahoma"/>
          <w:color w:val="333333"/>
          <w:sz w:val="17"/>
          <w:szCs w:val="17"/>
          <w:rtl/>
        </w:rPr>
        <w:t>استقلالية المجالس المحلية</w:t>
      </w:r>
      <w:r>
        <w:rPr>
          <w:rStyle w:val="apple-converted-space"/>
          <w:rFonts w:ascii="Tahoma" w:hAnsi="Tahoma" w:cs="Tahoma"/>
          <w:color w:val="333333"/>
          <w:sz w:val="17"/>
          <w:szCs w:val="17"/>
        </w:rPr>
        <w:t> </w:t>
      </w:r>
      <w:r>
        <w:rPr>
          <w:rFonts w:ascii="Tahoma" w:hAnsi="Tahoma" w:cs="Tahoma"/>
          <w:color w:val="333333"/>
          <w:sz w:val="17"/>
          <w:szCs w:val="17"/>
          <w:rtl/>
        </w:rPr>
        <w:t>ويكون ذلك بالقطع مع علاقة الرئيس بالمرؤوس وضمان استقلالية القرار في جميع المستويات المرتبطة بمجال صلاحيات الجماعة المحلية وخاصة فيما يتعلق بالتنمية بحيث تكون هي صاحبة القرار في التنمية المحلية</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ثالثا</w:t>
      </w:r>
      <w:r>
        <w:rPr>
          <w:rFonts w:ascii="Tahoma" w:hAnsi="Tahoma" w:cs="Tahoma"/>
          <w:color w:val="333333"/>
          <w:sz w:val="17"/>
          <w:szCs w:val="17"/>
        </w:rPr>
        <w:t>:</w:t>
      </w:r>
      <w:r>
        <w:rPr>
          <w:rStyle w:val="apple-converted-space"/>
          <w:rFonts w:ascii="Tahoma" w:hAnsi="Tahoma" w:cs="Tahoma"/>
          <w:color w:val="333333"/>
          <w:sz w:val="17"/>
          <w:szCs w:val="17"/>
        </w:rPr>
        <w:t> </w:t>
      </w:r>
      <w:r>
        <w:rPr>
          <w:rStyle w:val="Strong"/>
          <w:rFonts w:ascii="Tahoma" w:hAnsi="Tahoma" w:cs="Tahoma"/>
          <w:color w:val="333333"/>
          <w:sz w:val="17"/>
          <w:szCs w:val="17"/>
          <w:rtl/>
        </w:rPr>
        <w:t>الاستقلالية المالية</w:t>
      </w:r>
      <w:r>
        <w:rPr>
          <w:rStyle w:val="apple-converted-space"/>
          <w:rFonts w:ascii="Tahoma" w:hAnsi="Tahoma" w:cs="Tahoma"/>
          <w:color w:val="333333"/>
          <w:sz w:val="17"/>
          <w:szCs w:val="17"/>
        </w:rPr>
        <w:t> </w:t>
      </w:r>
      <w:r>
        <w:rPr>
          <w:rFonts w:ascii="Tahoma" w:hAnsi="Tahoma" w:cs="Tahoma"/>
          <w:color w:val="333333"/>
          <w:sz w:val="17"/>
          <w:szCs w:val="17"/>
          <w:rtl/>
        </w:rPr>
        <w:t>للجماعات المحلية وما تثيره من مشكلة ضعف الموارد وضرورة تحسين مردوديتها وذلك بخلق موارد جديدة لفائدتها إضافة إلى موارد الجباية المحلية وبمساهمة المنشآت الصناعية في ميزانية الجماعة المحلية عملا بقاعدة ( التعويض لما يسبب التلوث ويستغل البنية التحتية والثروات الباطنية بالجهة). وطرح التساؤل حول إمكانية التفويت في أملاك الدولة لصالح الجماعة المحلية نظرا لوجود بلديات تفتقر لأملاك هامة تمكنها من التصرف بحرية</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رابعا</w:t>
      </w:r>
      <w:r>
        <w:rPr>
          <w:rFonts w:ascii="Tahoma" w:hAnsi="Tahoma" w:cs="Tahoma"/>
          <w:color w:val="333333"/>
          <w:sz w:val="17"/>
          <w:szCs w:val="17"/>
        </w:rPr>
        <w:t>:</w:t>
      </w:r>
      <w:r>
        <w:rPr>
          <w:rStyle w:val="apple-converted-space"/>
          <w:rFonts w:ascii="Tahoma" w:hAnsi="Tahoma" w:cs="Tahoma"/>
          <w:color w:val="333333"/>
          <w:sz w:val="17"/>
          <w:szCs w:val="17"/>
        </w:rPr>
        <w:t> </w:t>
      </w:r>
      <w:r>
        <w:rPr>
          <w:rStyle w:val="Strong"/>
          <w:rFonts w:ascii="Tahoma" w:hAnsi="Tahoma" w:cs="Tahoma"/>
          <w:color w:val="333333"/>
          <w:sz w:val="17"/>
          <w:szCs w:val="17"/>
          <w:rtl/>
        </w:rPr>
        <w:t>رقابة الإشراف</w:t>
      </w:r>
      <w:r>
        <w:rPr>
          <w:rStyle w:val="apple-converted-space"/>
          <w:rFonts w:ascii="Tahoma" w:hAnsi="Tahoma" w:cs="Tahoma"/>
          <w:color w:val="333333"/>
          <w:sz w:val="17"/>
          <w:szCs w:val="17"/>
        </w:rPr>
        <w:t> </w:t>
      </w:r>
      <w:r>
        <w:rPr>
          <w:rFonts w:ascii="Tahoma" w:hAnsi="Tahoma" w:cs="Tahoma"/>
          <w:color w:val="333333"/>
          <w:sz w:val="17"/>
          <w:szCs w:val="17"/>
          <w:rtl/>
        </w:rPr>
        <w:t>ضرورية بما أن المبدأ هو وحدة الدولة ويتطلب ضمان توافق أعمال الجماعات المحلية مع التوجهات العامة للسياسية الوطنية. أثيرت مسألة الرقابة اللاحقة على شرعية القرارات الصادرة على الجماعات المحلية لكي لا تخضع للترخيص المسبق من المركز عند أخذ القرار. وهو ما يميزها على الرقابة الرئاسية التي هي رقابة مشددة من حيث أنها سابقة ومتزامنة ولاحقة. وتم التأكيد على عنصرين: إدخال الليونة في الرقابة على تنفيذ الميزانية المحلية من موارد ونفقات وتخفيف إجراءاتها وإسناد الرقابة لهيكل فضائي مستقل يمكن أن يتمثل في المحكمة الإدارية بما أنها مختصة بمراقبة الشرعية الإدارية بوجه عام</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وفي هذا الإطار دار النقاش حول الهيكل المركزي المكلف بالإشراف على الجماعات المحلية وتحديدا الانطباع السيئ الذي تركته وزارة الداخلية كهيكل مكلف بهذه المهمة. وتم اقتراح وزارة التنمية كبديل عنها في الربط بين الجماعة المحلية والدولة</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ثم تم التطرق لمسألة تنظيم منهجية استماع اللجنة للخبراء وتم الاتفاق على أنها تكون بتحديد المحاور موضوع البحث واقتراح أهل الاختصاص على ضوء ذلك</w:t>
      </w:r>
      <w:r>
        <w:rPr>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أولا: المحاور الكبرى</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ثانيا: الخبراء</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تم ضبط موعد لاحق لاجتماع اللجنة ليوم الاثنين 26 مارس 2012 لاستماع لمداخلة الأستاذ حافظ بن صالح</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رفعت اللجنة أعمالها على الساعة 14</w:t>
      </w:r>
      <w:r>
        <w:rPr>
          <w:rStyle w:val="Strong"/>
          <w:rFonts w:ascii="Tahoma" w:hAnsi="Tahoma" w:cs="Tahoma"/>
          <w:color w:val="333333"/>
          <w:sz w:val="17"/>
          <w:szCs w:val="17"/>
        </w:rPr>
        <w:t>.</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                                              مقرر اللجنة</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1DF7" w:rsidRDefault="002A1DF7" w:rsidP="002A1DF7">
      <w:pPr>
        <w:pStyle w:val="NormalWeb"/>
        <w:shd w:val="clear" w:color="auto" w:fill="FFFFFF"/>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عماد الحمامي                                             فيصل الجدلاوي</w:t>
      </w:r>
    </w:p>
    <w:p w:rsidR="00442D2D" w:rsidRPr="002A1DF7" w:rsidRDefault="00442D2D" w:rsidP="00B5752F">
      <w:pPr>
        <w:bidi/>
        <w:jc w:val="right"/>
        <w:rPr>
          <w:b/>
          <w:bCs/>
        </w:rPr>
      </w:pPr>
    </w:p>
    <w:sectPr w:rsidR="00442D2D" w:rsidRPr="002A1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4"/>
    <w:rsid w:val="000F2EB2"/>
    <w:rsid w:val="00224FBB"/>
    <w:rsid w:val="002A1DF7"/>
    <w:rsid w:val="00442D2D"/>
    <w:rsid w:val="008803E0"/>
    <w:rsid w:val="00B530B4"/>
    <w:rsid w:val="00B57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2557">
      <w:bodyDiv w:val="1"/>
      <w:marLeft w:val="0"/>
      <w:marRight w:val="0"/>
      <w:marTop w:val="0"/>
      <w:marBottom w:val="0"/>
      <w:divBdr>
        <w:top w:val="none" w:sz="0" w:space="0" w:color="auto"/>
        <w:left w:val="none" w:sz="0" w:space="0" w:color="auto"/>
        <w:bottom w:val="none" w:sz="0" w:space="0" w:color="auto"/>
        <w:right w:val="none" w:sz="0" w:space="0" w:color="auto"/>
      </w:divBdr>
      <w:divsChild>
        <w:div w:id="1138955022">
          <w:marLeft w:val="0"/>
          <w:marRight w:val="0"/>
          <w:marTop w:val="0"/>
          <w:marBottom w:val="0"/>
          <w:divBdr>
            <w:top w:val="none" w:sz="0" w:space="0" w:color="auto"/>
            <w:left w:val="none" w:sz="0" w:space="0" w:color="auto"/>
            <w:bottom w:val="none" w:sz="0" w:space="0" w:color="auto"/>
            <w:right w:val="none" w:sz="0" w:space="0" w:color="auto"/>
          </w:divBdr>
        </w:div>
      </w:divsChild>
    </w:div>
    <w:div w:id="94986278">
      <w:bodyDiv w:val="1"/>
      <w:marLeft w:val="0"/>
      <w:marRight w:val="0"/>
      <w:marTop w:val="0"/>
      <w:marBottom w:val="0"/>
      <w:divBdr>
        <w:top w:val="none" w:sz="0" w:space="0" w:color="auto"/>
        <w:left w:val="none" w:sz="0" w:space="0" w:color="auto"/>
        <w:bottom w:val="none" w:sz="0" w:space="0" w:color="auto"/>
        <w:right w:val="none" w:sz="0" w:space="0" w:color="auto"/>
      </w:divBdr>
      <w:divsChild>
        <w:div w:id="853031396">
          <w:marLeft w:val="0"/>
          <w:marRight w:val="0"/>
          <w:marTop w:val="0"/>
          <w:marBottom w:val="0"/>
          <w:divBdr>
            <w:top w:val="none" w:sz="0" w:space="0" w:color="auto"/>
            <w:left w:val="none" w:sz="0" w:space="0" w:color="auto"/>
            <w:bottom w:val="none" w:sz="0" w:space="0" w:color="auto"/>
            <w:right w:val="none" w:sz="0" w:space="0" w:color="auto"/>
          </w:divBdr>
        </w:div>
      </w:divsChild>
    </w:div>
    <w:div w:id="378433179">
      <w:bodyDiv w:val="1"/>
      <w:marLeft w:val="0"/>
      <w:marRight w:val="0"/>
      <w:marTop w:val="0"/>
      <w:marBottom w:val="0"/>
      <w:divBdr>
        <w:top w:val="none" w:sz="0" w:space="0" w:color="auto"/>
        <w:left w:val="none" w:sz="0" w:space="0" w:color="auto"/>
        <w:bottom w:val="none" w:sz="0" w:space="0" w:color="auto"/>
        <w:right w:val="none" w:sz="0" w:space="0" w:color="auto"/>
      </w:divBdr>
      <w:divsChild>
        <w:div w:id="768815441">
          <w:marLeft w:val="0"/>
          <w:marRight w:val="0"/>
          <w:marTop w:val="0"/>
          <w:marBottom w:val="0"/>
          <w:divBdr>
            <w:top w:val="none" w:sz="0" w:space="0" w:color="auto"/>
            <w:left w:val="none" w:sz="0" w:space="0" w:color="auto"/>
            <w:bottom w:val="none" w:sz="0" w:space="0" w:color="auto"/>
            <w:right w:val="none" w:sz="0" w:space="0" w:color="auto"/>
          </w:divBdr>
        </w:div>
      </w:divsChild>
    </w:div>
    <w:div w:id="447697555">
      <w:bodyDiv w:val="1"/>
      <w:marLeft w:val="0"/>
      <w:marRight w:val="0"/>
      <w:marTop w:val="0"/>
      <w:marBottom w:val="0"/>
      <w:divBdr>
        <w:top w:val="none" w:sz="0" w:space="0" w:color="auto"/>
        <w:left w:val="none" w:sz="0" w:space="0" w:color="auto"/>
        <w:bottom w:val="none" w:sz="0" w:space="0" w:color="auto"/>
        <w:right w:val="none" w:sz="0" w:space="0" w:color="auto"/>
      </w:divBdr>
      <w:divsChild>
        <w:div w:id="977882828">
          <w:marLeft w:val="0"/>
          <w:marRight w:val="0"/>
          <w:marTop w:val="0"/>
          <w:marBottom w:val="0"/>
          <w:divBdr>
            <w:top w:val="none" w:sz="0" w:space="0" w:color="auto"/>
            <w:left w:val="none" w:sz="0" w:space="0" w:color="auto"/>
            <w:bottom w:val="none" w:sz="0" w:space="0" w:color="auto"/>
            <w:right w:val="none" w:sz="0" w:space="0" w:color="auto"/>
          </w:divBdr>
        </w:div>
      </w:divsChild>
    </w:div>
    <w:div w:id="560796274">
      <w:bodyDiv w:val="1"/>
      <w:marLeft w:val="0"/>
      <w:marRight w:val="0"/>
      <w:marTop w:val="0"/>
      <w:marBottom w:val="0"/>
      <w:divBdr>
        <w:top w:val="none" w:sz="0" w:space="0" w:color="auto"/>
        <w:left w:val="none" w:sz="0" w:space="0" w:color="auto"/>
        <w:bottom w:val="none" w:sz="0" w:space="0" w:color="auto"/>
        <w:right w:val="none" w:sz="0" w:space="0" w:color="auto"/>
      </w:divBdr>
    </w:div>
    <w:div w:id="562915224">
      <w:bodyDiv w:val="1"/>
      <w:marLeft w:val="0"/>
      <w:marRight w:val="0"/>
      <w:marTop w:val="0"/>
      <w:marBottom w:val="0"/>
      <w:divBdr>
        <w:top w:val="none" w:sz="0" w:space="0" w:color="auto"/>
        <w:left w:val="none" w:sz="0" w:space="0" w:color="auto"/>
        <w:bottom w:val="none" w:sz="0" w:space="0" w:color="auto"/>
        <w:right w:val="none" w:sz="0" w:space="0" w:color="auto"/>
      </w:divBdr>
    </w:div>
    <w:div w:id="827331850">
      <w:bodyDiv w:val="1"/>
      <w:marLeft w:val="0"/>
      <w:marRight w:val="0"/>
      <w:marTop w:val="0"/>
      <w:marBottom w:val="0"/>
      <w:divBdr>
        <w:top w:val="none" w:sz="0" w:space="0" w:color="auto"/>
        <w:left w:val="none" w:sz="0" w:space="0" w:color="auto"/>
        <w:bottom w:val="none" w:sz="0" w:space="0" w:color="auto"/>
        <w:right w:val="none" w:sz="0" w:space="0" w:color="auto"/>
      </w:divBdr>
      <w:divsChild>
        <w:div w:id="974140648">
          <w:marLeft w:val="0"/>
          <w:marRight w:val="0"/>
          <w:marTop w:val="0"/>
          <w:marBottom w:val="300"/>
          <w:divBdr>
            <w:top w:val="none" w:sz="0" w:space="0" w:color="auto"/>
            <w:left w:val="none" w:sz="0" w:space="0" w:color="auto"/>
            <w:bottom w:val="none" w:sz="0" w:space="0" w:color="auto"/>
            <w:right w:val="none" w:sz="0" w:space="0" w:color="auto"/>
          </w:divBdr>
          <w:divsChild>
            <w:div w:id="10144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498">
      <w:bodyDiv w:val="1"/>
      <w:marLeft w:val="0"/>
      <w:marRight w:val="0"/>
      <w:marTop w:val="0"/>
      <w:marBottom w:val="0"/>
      <w:divBdr>
        <w:top w:val="none" w:sz="0" w:space="0" w:color="auto"/>
        <w:left w:val="none" w:sz="0" w:space="0" w:color="auto"/>
        <w:bottom w:val="none" w:sz="0" w:space="0" w:color="auto"/>
        <w:right w:val="none" w:sz="0" w:space="0" w:color="auto"/>
      </w:divBdr>
      <w:divsChild>
        <w:div w:id="1211066680">
          <w:marLeft w:val="0"/>
          <w:marRight w:val="0"/>
          <w:marTop w:val="0"/>
          <w:marBottom w:val="0"/>
          <w:divBdr>
            <w:top w:val="none" w:sz="0" w:space="0" w:color="auto"/>
            <w:left w:val="none" w:sz="0" w:space="0" w:color="auto"/>
            <w:bottom w:val="none" w:sz="0" w:space="0" w:color="auto"/>
            <w:right w:val="none" w:sz="0" w:space="0" w:color="auto"/>
          </w:divBdr>
        </w:div>
      </w:divsChild>
    </w:div>
    <w:div w:id="1306086239">
      <w:bodyDiv w:val="1"/>
      <w:marLeft w:val="0"/>
      <w:marRight w:val="0"/>
      <w:marTop w:val="0"/>
      <w:marBottom w:val="0"/>
      <w:divBdr>
        <w:top w:val="none" w:sz="0" w:space="0" w:color="auto"/>
        <w:left w:val="none" w:sz="0" w:space="0" w:color="auto"/>
        <w:bottom w:val="none" w:sz="0" w:space="0" w:color="auto"/>
        <w:right w:val="none" w:sz="0" w:space="0" w:color="auto"/>
      </w:divBdr>
    </w:div>
    <w:div w:id="1405755634">
      <w:bodyDiv w:val="1"/>
      <w:marLeft w:val="0"/>
      <w:marRight w:val="0"/>
      <w:marTop w:val="0"/>
      <w:marBottom w:val="0"/>
      <w:divBdr>
        <w:top w:val="none" w:sz="0" w:space="0" w:color="auto"/>
        <w:left w:val="none" w:sz="0" w:space="0" w:color="auto"/>
        <w:bottom w:val="none" w:sz="0" w:space="0" w:color="auto"/>
        <w:right w:val="none" w:sz="0" w:space="0" w:color="auto"/>
      </w:divBdr>
    </w:div>
    <w:div w:id="1440683613">
      <w:bodyDiv w:val="1"/>
      <w:marLeft w:val="0"/>
      <w:marRight w:val="0"/>
      <w:marTop w:val="0"/>
      <w:marBottom w:val="0"/>
      <w:divBdr>
        <w:top w:val="none" w:sz="0" w:space="0" w:color="auto"/>
        <w:left w:val="none" w:sz="0" w:space="0" w:color="auto"/>
        <w:bottom w:val="none" w:sz="0" w:space="0" w:color="auto"/>
        <w:right w:val="none" w:sz="0" w:space="0" w:color="auto"/>
      </w:divBdr>
      <w:divsChild>
        <w:div w:id="641815180">
          <w:marLeft w:val="0"/>
          <w:marRight w:val="0"/>
          <w:marTop w:val="0"/>
          <w:marBottom w:val="300"/>
          <w:divBdr>
            <w:top w:val="none" w:sz="0" w:space="0" w:color="auto"/>
            <w:left w:val="none" w:sz="0" w:space="0" w:color="auto"/>
            <w:bottom w:val="none" w:sz="0" w:space="0" w:color="auto"/>
            <w:right w:val="none" w:sz="0" w:space="0" w:color="auto"/>
          </w:divBdr>
          <w:divsChild>
            <w:div w:id="1607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816">
      <w:bodyDiv w:val="1"/>
      <w:marLeft w:val="0"/>
      <w:marRight w:val="0"/>
      <w:marTop w:val="0"/>
      <w:marBottom w:val="0"/>
      <w:divBdr>
        <w:top w:val="none" w:sz="0" w:space="0" w:color="auto"/>
        <w:left w:val="none" w:sz="0" w:space="0" w:color="auto"/>
        <w:bottom w:val="none" w:sz="0" w:space="0" w:color="auto"/>
        <w:right w:val="none" w:sz="0" w:space="0" w:color="auto"/>
      </w:divBdr>
    </w:div>
    <w:div w:id="1981492186">
      <w:bodyDiv w:val="1"/>
      <w:marLeft w:val="0"/>
      <w:marRight w:val="0"/>
      <w:marTop w:val="0"/>
      <w:marBottom w:val="0"/>
      <w:divBdr>
        <w:top w:val="none" w:sz="0" w:space="0" w:color="auto"/>
        <w:left w:val="none" w:sz="0" w:space="0" w:color="auto"/>
        <w:bottom w:val="none" w:sz="0" w:space="0" w:color="auto"/>
        <w:right w:val="none" w:sz="0" w:space="0" w:color="auto"/>
      </w:divBdr>
      <w:divsChild>
        <w:div w:id="1827739479">
          <w:marLeft w:val="0"/>
          <w:marRight w:val="0"/>
          <w:marTop w:val="0"/>
          <w:marBottom w:val="0"/>
          <w:divBdr>
            <w:top w:val="none" w:sz="0" w:space="0" w:color="auto"/>
            <w:left w:val="none" w:sz="0" w:space="0" w:color="auto"/>
            <w:bottom w:val="none" w:sz="0" w:space="0" w:color="auto"/>
            <w:right w:val="none" w:sz="0" w:space="0" w:color="auto"/>
          </w:divBdr>
        </w:div>
      </w:divsChild>
    </w:div>
    <w:div w:id="2049336693">
      <w:bodyDiv w:val="1"/>
      <w:marLeft w:val="0"/>
      <w:marRight w:val="0"/>
      <w:marTop w:val="0"/>
      <w:marBottom w:val="0"/>
      <w:divBdr>
        <w:top w:val="none" w:sz="0" w:space="0" w:color="auto"/>
        <w:left w:val="none" w:sz="0" w:space="0" w:color="auto"/>
        <w:bottom w:val="none" w:sz="0" w:space="0" w:color="auto"/>
        <w:right w:val="none" w:sz="0" w:space="0" w:color="auto"/>
      </w:divBdr>
      <w:divsChild>
        <w:div w:id="173214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2308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12</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2012-04-20T12:23:00Z</dcterms:created>
  <dcterms:modified xsi:type="dcterms:W3CDTF">2012-04-20T12:23:00Z</dcterms:modified>
</cp:coreProperties>
</file>